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5771F073" w:rsidR="0066501D" w:rsidRPr="00032874" w:rsidRDefault="00B3572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Apprenticeship Onboarding Officer</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404FAF46" w:rsidR="009F3CB1" w:rsidRPr="00032874" w:rsidRDefault="00B3572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Grade 3</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6E89996F" w:rsidR="0066501D" w:rsidRPr="00032874" w:rsidRDefault="00B3572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Apprenticeship Operations Team Leader</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41B50C39" w:rsidR="0066501D" w:rsidRPr="00032874" w:rsidRDefault="00B3572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Hybrid</w:t>
            </w:r>
            <w:r w:rsidR="00AB29C7">
              <w:rPr>
                <w:sz w:val="22"/>
                <w:szCs w:val="28"/>
              </w:rPr>
              <w:t xml:space="preserve"> – into nearest office</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59A2B7C7" w:rsidR="0066501D" w:rsidRPr="00032874" w:rsidRDefault="00B35721"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Apprenticeship Operations</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2974130D" w:rsidR="009F3CB1" w:rsidRPr="009F3CB1" w:rsidRDefault="009B2BEA"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Enhanced</w:t>
            </w:r>
            <w:r w:rsidR="00B35721">
              <w:rPr>
                <w:sz w:val="22"/>
                <w:szCs w:val="28"/>
              </w:rPr>
              <w:t xml:space="preserve"> DBS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1573AE14" w14:textId="2C573C8A" w:rsidR="00B35721" w:rsidRDefault="00B35721" w:rsidP="00B35721">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As an onboarding officer, you will be responsible for onboarding apprentices on to</w:t>
            </w:r>
            <w:r w:rsidR="00D02C1D">
              <w:rPr>
                <w:sz w:val="22"/>
                <w:szCs w:val="28"/>
              </w:rPr>
              <w:t xml:space="preserve"> their chosen</w:t>
            </w:r>
            <w:r>
              <w:rPr>
                <w:sz w:val="22"/>
                <w:szCs w:val="28"/>
              </w:rPr>
              <w:t xml:space="preserve"> Apprenticeship. </w:t>
            </w:r>
          </w:p>
          <w:p w14:paraId="5C50666E" w14:textId="607275D8" w:rsidR="006E7F90" w:rsidRPr="00032874" w:rsidRDefault="00B35721"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Your primary focus is to successfully enrol our learners on to their apprenticeship programme in line with operational KPI’s</w:t>
            </w:r>
            <w:r w:rsidR="003357E8">
              <w:rPr>
                <w:sz w:val="22"/>
                <w:szCs w:val="28"/>
              </w:rPr>
              <w:t xml:space="preserve"> and SLA’s</w:t>
            </w:r>
            <w:r>
              <w:rPr>
                <w:sz w:val="22"/>
                <w:szCs w:val="28"/>
              </w:rPr>
              <w:t xml:space="preserve"> whilst maintaining a high level of accuracy</w:t>
            </w:r>
            <w:r w:rsidR="00AB29C7">
              <w:rPr>
                <w:sz w:val="22"/>
                <w:szCs w:val="28"/>
              </w:rPr>
              <w:t>, quality</w:t>
            </w:r>
            <w:r>
              <w:rPr>
                <w:sz w:val="22"/>
                <w:szCs w:val="28"/>
              </w:rPr>
              <w:t xml:space="preserve"> and attention to detail. </w:t>
            </w:r>
          </w:p>
        </w:tc>
      </w:tr>
      <w:tr w:rsidR="00D25E19"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932" w:type="pct"/>
          </w:tcPr>
          <w:p w14:paraId="312E670A" w14:textId="471E914E" w:rsidR="00A54C47"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Manage a caseload of learners and guide each of them through the onboarding process from application to start date.</w:t>
            </w:r>
          </w:p>
          <w:p w14:paraId="29A57FB3" w14:textId="02625982" w:rsidR="005A7828" w:rsidRDefault="00B35721"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Conduct enrolment calls with eligible learners and their employers</w:t>
            </w:r>
            <w:r w:rsidR="00A54C47">
              <w:rPr>
                <w:sz w:val="22"/>
                <w:szCs w:val="22"/>
              </w:rPr>
              <w:t>.</w:t>
            </w:r>
          </w:p>
          <w:p w14:paraId="57CF202B" w14:textId="1B8B853E" w:rsidR="00A54C47"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Explain the Apprenticeship </w:t>
            </w:r>
            <w:r w:rsidR="00730792">
              <w:rPr>
                <w:sz w:val="22"/>
                <w:szCs w:val="22"/>
              </w:rPr>
              <w:t>j</w:t>
            </w:r>
            <w:r>
              <w:rPr>
                <w:sz w:val="22"/>
                <w:szCs w:val="22"/>
              </w:rPr>
              <w:t>ourney in a learner-centric manner, providing the right level of information and clearly set expectations of what is required whilst on programme.</w:t>
            </w:r>
          </w:p>
          <w:p w14:paraId="493DC32E" w14:textId="0AFAF24A" w:rsidR="00A54C47"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Timely and successful completion and submission of all required documentation or information in-line with regulations and governance.</w:t>
            </w:r>
          </w:p>
          <w:p w14:paraId="03918C5B" w14:textId="4411E9D3" w:rsidR="006E7F90"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Demonstrate a high level of accuracy in submitting learner data to minimise compliance issues</w:t>
            </w:r>
            <w:r w:rsidR="00730792">
              <w:rPr>
                <w:sz w:val="22"/>
                <w:szCs w:val="22"/>
              </w:rPr>
              <w:t xml:space="preserve">, meaning a high ‘first time right rate’. </w:t>
            </w:r>
          </w:p>
          <w:p w14:paraId="312C4138" w14:textId="14FBE4E3" w:rsidR="006E7F90"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Ensure a first-class onboarding experience is delivered to Learners, Line </w:t>
            </w:r>
            <w:r w:rsidR="00730792">
              <w:rPr>
                <w:sz w:val="22"/>
                <w:szCs w:val="22"/>
              </w:rPr>
              <w:t>M</w:t>
            </w:r>
            <w:r>
              <w:rPr>
                <w:sz w:val="22"/>
                <w:szCs w:val="22"/>
              </w:rPr>
              <w:t>anagers, and other internal stakeholders at all levels</w:t>
            </w:r>
            <w:r w:rsidR="00730792">
              <w:rPr>
                <w:sz w:val="22"/>
                <w:szCs w:val="22"/>
              </w:rPr>
              <w:t>.</w:t>
            </w:r>
          </w:p>
          <w:p w14:paraId="597B680F" w14:textId="1E889D8D" w:rsidR="006E7F90" w:rsidRDefault="00A54C47" w:rsidP="00AB016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Escalate risks to the Operations Team leader to ensure appropriate action is taken to mitigate them. </w:t>
            </w:r>
          </w:p>
          <w:p w14:paraId="27B73885" w14:textId="0A334874" w:rsidR="006E7F90" w:rsidRPr="00032874" w:rsidRDefault="00A54C47" w:rsidP="00A54C4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Maintain strong relationships with sales teams</w:t>
            </w:r>
            <w:r w:rsidR="00730792">
              <w:rPr>
                <w:sz w:val="22"/>
                <w:szCs w:val="22"/>
              </w:rPr>
              <w:t>, ensuring clear and regular communication and collaboration</w:t>
            </w:r>
            <w:r>
              <w:rPr>
                <w:sz w:val="22"/>
                <w:szCs w:val="22"/>
              </w:rPr>
              <w:t>.</w:t>
            </w:r>
          </w:p>
        </w:tc>
      </w:tr>
      <w:tr w:rsidR="006E7F90"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32111F86" w14:textId="01F6D939" w:rsidR="006E7F90" w:rsidRDefault="00A54C47"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Working to defined deadlines where high levels </w:t>
            </w:r>
            <w:r w:rsidR="00D02C1D">
              <w:rPr>
                <w:sz w:val="22"/>
                <w:szCs w:val="22"/>
              </w:rPr>
              <w:t>o</w:t>
            </w:r>
            <w:r>
              <w:rPr>
                <w:sz w:val="22"/>
                <w:szCs w:val="22"/>
              </w:rPr>
              <w:t>f accuracy are required.</w:t>
            </w:r>
          </w:p>
          <w:p w14:paraId="607DD6EE" w14:textId="4F45DE6A" w:rsidR="00A54C47" w:rsidRDefault="00A54C47"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Experience working within an office environment or customer service role dealing with internal </w:t>
            </w:r>
            <w:r w:rsidR="00730792">
              <w:rPr>
                <w:sz w:val="22"/>
                <w:szCs w:val="22"/>
              </w:rPr>
              <w:t>and</w:t>
            </w:r>
            <w:r>
              <w:rPr>
                <w:sz w:val="22"/>
                <w:szCs w:val="22"/>
              </w:rPr>
              <w:t xml:space="preserve"> external stakeholders</w:t>
            </w:r>
          </w:p>
          <w:p w14:paraId="6BFEFF20" w14:textId="394FB10A" w:rsidR="00A54C47" w:rsidRDefault="00A54C47"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Experience of working in Apprenticeships or Education (Desired)</w:t>
            </w:r>
          </w:p>
          <w:p w14:paraId="005B3FB0" w14:textId="5A56096E" w:rsidR="006E7F90" w:rsidRPr="00730792" w:rsidRDefault="00143903" w:rsidP="0073079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Able to work under pressure whilst maintaining professionalism, attention to detail and accuracy.</w:t>
            </w:r>
          </w:p>
        </w:tc>
      </w:tr>
      <w:tr w:rsidR="006E7F90"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t>Key Competencies:</w:t>
            </w:r>
          </w:p>
        </w:tc>
        <w:tc>
          <w:tcPr>
            <w:tcW w:w="3932" w:type="pct"/>
          </w:tcPr>
          <w:p w14:paraId="242179E4" w14:textId="0038E810" w:rsidR="006E7F90" w:rsidRDefault="009B2BEA"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Highly </w:t>
            </w:r>
            <w:r w:rsidR="00730792">
              <w:rPr>
                <w:sz w:val="22"/>
                <w:szCs w:val="22"/>
              </w:rPr>
              <w:t>o</w:t>
            </w:r>
            <w:r>
              <w:rPr>
                <w:sz w:val="22"/>
                <w:szCs w:val="22"/>
              </w:rPr>
              <w:t xml:space="preserve">rganised and </w:t>
            </w:r>
            <w:r w:rsidR="00730792">
              <w:rPr>
                <w:sz w:val="22"/>
                <w:szCs w:val="22"/>
              </w:rPr>
              <w:t>e</w:t>
            </w:r>
            <w:r>
              <w:rPr>
                <w:sz w:val="22"/>
                <w:szCs w:val="22"/>
              </w:rPr>
              <w:t>fficient</w:t>
            </w:r>
          </w:p>
          <w:p w14:paraId="227D9AE1" w14:textId="222B4FFB" w:rsidR="009B2BEA" w:rsidRDefault="009B2BEA"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Work</w:t>
            </w:r>
            <w:r w:rsidR="00730792">
              <w:rPr>
                <w:sz w:val="22"/>
                <w:szCs w:val="22"/>
              </w:rPr>
              <w:t>s</w:t>
            </w:r>
            <w:r>
              <w:rPr>
                <w:sz w:val="22"/>
                <w:szCs w:val="22"/>
              </w:rPr>
              <w:t xml:space="preserve"> well under pressure</w:t>
            </w:r>
          </w:p>
          <w:p w14:paraId="3DF28A86" w14:textId="2734C7BD" w:rsidR="009B2BEA" w:rsidRDefault="009B2BEA"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Excellent attention to detail</w:t>
            </w:r>
          </w:p>
          <w:p w14:paraId="49EA89DC" w14:textId="38E70E6A" w:rsidR="009B2BEA" w:rsidRDefault="009B2BEA"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Resilie</w:t>
            </w:r>
            <w:r w:rsidR="00730792">
              <w:rPr>
                <w:sz w:val="22"/>
                <w:szCs w:val="22"/>
              </w:rPr>
              <w:t>nt; able to adapt to change</w:t>
            </w:r>
          </w:p>
          <w:p w14:paraId="27F79630" w14:textId="2AF62DD7" w:rsidR="009B2BEA" w:rsidRDefault="009B2BEA" w:rsidP="006E7F9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Team Player</w:t>
            </w:r>
          </w:p>
          <w:p w14:paraId="7925087D" w14:textId="77777777" w:rsidR="009F3CB1" w:rsidRDefault="00730792" w:rsidP="0073079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Positive </w:t>
            </w:r>
            <w:r w:rsidR="009B2BEA">
              <w:rPr>
                <w:sz w:val="22"/>
                <w:szCs w:val="22"/>
              </w:rPr>
              <w:t>approach to problem solving</w:t>
            </w:r>
          </w:p>
          <w:p w14:paraId="242157A1" w14:textId="2341E1D9" w:rsidR="00730792" w:rsidRPr="00730792" w:rsidRDefault="00730792" w:rsidP="0073079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Collaborative</w:t>
            </w:r>
          </w:p>
        </w:tc>
      </w:tr>
      <w:tr w:rsidR="006E7F90"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lastRenderedPageBreak/>
              <w:t>About QA</w:t>
            </w:r>
          </w:p>
        </w:tc>
        <w:tc>
          <w:tcPr>
            <w:tcW w:w="3932" w:type="pct"/>
          </w:tcPr>
          <w:p w14:paraId="370E445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709531B6"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B142E1" w:rsidRPr="0003287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7775058D" w:rsidR="00B142E1" w:rsidRPr="00B142E1" w:rsidRDefault="00B142E1" w:rsidP="00B142E1">
            <w:pPr>
              <w:pStyle w:val="Table"/>
              <w:jc w:val="both"/>
              <w:rPr>
                <w:sz w:val="22"/>
                <w:szCs w:val="28"/>
              </w:rPr>
            </w:pPr>
            <w:r>
              <w:rPr>
                <w:sz w:val="22"/>
                <w:szCs w:val="28"/>
              </w:rPr>
              <w:t xml:space="preserve">Safeguarding Statement </w:t>
            </w:r>
          </w:p>
        </w:tc>
        <w:tc>
          <w:tcPr>
            <w:tcW w:w="3932" w:type="pct"/>
          </w:tcPr>
          <w:p w14:paraId="419075C0" w14:textId="77777777" w:rsidR="00B142E1" w:rsidRPr="00A54C47" w:rsidRDefault="00B142E1" w:rsidP="00B142E1">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B142E1" w:rsidRPr="00A54C47" w:rsidRDefault="00B142E1" w:rsidP="00B142E1">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 xml:space="preserve"> </w:t>
            </w:r>
          </w:p>
          <w:p w14:paraId="1224D87B" w14:textId="77777777" w:rsidR="00B142E1" w:rsidRPr="00A54C47" w:rsidRDefault="00B142E1" w:rsidP="00B142E1">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 xml:space="preserve">This post is exempt from the Rehabilitation of Offenders Act 1974 and a comprehensive screening process will be undertaken on successful applicants including: </w:t>
            </w:r>
          </w:p>
          <w:p w14:paraId="2A919777" w14:textId="77777777" w:rsidR="00B142E1" w:rsidRPr="00A54C47" w:rsidRDefault="00B142E1" w:rsidP="00B142E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 xml:space="preserve">an enhanced disclosure check </w:t>
            </w:r>
          </w:p>
          <w:p w14:paraId="2E6C6D39" w14:textId="77777777" w:rsidR="00B142E1" w:rsidRPr="00A54C47"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Child Barring list check</w:t>
            </w:r>
          </w:p>
          <w:p w14:paraId="10A6F801" w14:textId="77777777" w:rsidR="00B142E1" w:rsidRPr="00A54C47"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qualification checks</w:t>
            </w:r>
          </w:p>
          <w:p w14:paraId="7084FF19" w14:textId="77777777" w:rsidR="00B142E1" w:rsidRPr="00A54C47"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 xml:space="preserve">online checks </w:t>
            </w:r>
          </w:p>
          <w:p w14:paraId="393B5FE3" w14:textId="77777777" w:rsidR="00B142E1" w:rsidRPr="00A54C47"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medical fitness</w:t>
            </w:r>
          </w:p>
          <w:p w14:paraId="35DA6068" w14:textId="77777777" w:rsidR="00B142E1" w:rsidRPr="00A54C47"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identity and right to work</w:t>
            </w:r>
          </w:p>
          <w:p w14:paraId="15B14090" w14:textId="77777777" w:rsidR="00B142E1" w:rsidRPr="00A54C47" w:rsidRDefault="00B142E1" w:rsidP="00B142E1">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All applicants will be required to provide two references covering the previous three years and a Criminal Declaration form must be completed and returned ahead of interview.</w:t>
            </w:r>
          </w:p>
          <w:p w14:paraId="4C06926D" w14:textId="77777777" w:rsidR="00B142E1" w:rsidRPr="00A54C47" w:rsidRDefault="00B142E1" w:rsidP="00B142E1">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A54C47">
              <w:rPr>
                <w:kern w:val="0"/>
                <w:sz w:val="22"/>
                <w:szCs w:val="28"/>
                <w14:ligatures w14:val="none"/>
              </w:rPr>
              <w:t xml:space="preserve"> </w:t>
            </w:r>
          </w:p>
          <w:p w14:paraId="4FA2CD37" w14:textId="332C4FB1" w:rsidR="00B142E1" w:rsidRPr="3EE7330E" w:rsidRDefault="00B142E1" w:rsidP="00B142E1">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Montserrat" w:eastAsia="Montserrat" w:hAnsi="Montserrat" w:cs="Montserrat"/>
                <w:color w:val="FFFFFF" w:themeColor="background1"/>
                <w:szCs w:val="20"/>
              </w:rPr>
            </w:pPr>
            <w:r w:rsidRPr="00A54C47">
              <w:rPr>
                <w:sz w:val="22"/>
                <w:szCs w:val="28"/>
              </w:rPr>
              <w:t>We look forward to welcoming dedicated individuals who share our commitment to safety and well-being.</w:t>
            </w:r>
          </w:p>
        </w:tc>
      </w:tr>
    </w:tbl>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even" r:id="rId11"/>
      <w:headerReference w:type="default" r:id="rId12"/>
      <w:footerReference w:type="even" r:id="rId13"/>
      <w:footerReference w:type="default" r:id="rId14"/>
      <w:headerReference w:type="first" r:id="rId15"/>
      <w:footerReference w:type="first" r:id="rId16"/>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D6D24" w14:textId="77777777" w:rsidR="00205B83" w:rsidRDefault="00205B83" w:rsidP="007F513E">
      <w:r>
        <w:separator/>
      </w:r>
    </w:p>
  </w:endnote>
  <w:endnote w:type="continuationSeparator" w:id="0">
    <w:p w14:paraId="344BB1F4" w14:textId="77777777" w:rsidR="00205B83" w:rsidRDefault="00205B83"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panose1 w:val="00000400000000000000"/>
    <w:charset w:val="00"/>
    <w:family w:val="auto"/>
    <w:pitch w:val="variable"/>
    <w:sig w:usb0="2000020F" w:usb1="00000003" w:usb2="00000000" w:usb3="00000000" w:csb0="00000197" w:csb1="00000000"/>
  </w:font>
  <w:font w:name="Montserrat">
    <w:altName w:val="Courier New"/>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00EB" w14:textId="77777777" w:rsidR="00EC52D2" w:rsidRDefault="00EC5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41D7F" w14:textId="314973A5" w:rsidR="005650C1" w:rsidRDefault="005650C1">
    <w:pPr>
      <w:pStyle w:val="Footer"/>
      <w:rPr>
        <w:sz w:val="20"/>
        <w:szCs w:val="20"/>
      </w:rPr>
    </w:pPr>
    <w:r w:rsidRPr="005650C1">
      <w:rPr>
        <w:sz w:val="20"/>
        <w:szCs w:val="20"/>
      </w:rPr>
      <w:t>Author:</w:t>
    </w:r>
    <w:r w:rsidR="00EC52D2">
      <w:rPr>
        <w:sz w:val="20"/>
        <w:szCs w:val="20"/>
      </w:rPr>
      <w:t xml:space="preserve"> Jenna Hill</w:t>
    </w:r>
    <w:r w:rsidRPr="005650C1">
      <w:rPr>
        <w:sz w:val="20"/>
        <w:szCs w:val="20"/>
      </w:rPr>
      <w:tab/>
      <w:t>Date:</w:t>
    </w:r>
    <w:r w:rsidR="00EC52D2">
      <w:rPr>
        <w:sz w:val="20"/>
        <w:szCs w:val="20"/>
      </w:rPr>
      <w:t xml:space="preserve"> December 2024</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998CD" w14:textId="77777777" w:rsidR="00205B83" w:rsidRDefault="00205B83" w:rsidP="007F513E">
      <w:r>
        <w:separator/>
      </w:r>
    </w:p>
  </w:footnote>
  <w:footnote w:type="continuationSeparator" w:id="0">
    <w:p w14:paraId="20022BC5" w14:textId="77777777" w:rsidR="00205B83" w:rsidRDefault="00205B83"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66A6" w14:textId="77777777" w:rsidR="00EC52D2" w:rsidRDefault="00EC5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5BD1" w14:textId="068E8A17"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B0BB" w14:textId="77777777" w:rsidR="00EC52D2" w:rsidRDefault="00EC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2"/>
  </w:num>
  <w:num w:numId="2" w16cid:durableId="1710959336">
    <w:abstractNumId w:val="15"/>
  </w:num>
  <w:num w:numId="3" w16cid:durableId="37897106">
    <w:abstractNumId w:val="3"/>
  </w:num>
  <w:num w:numId="4" w16cid:durableId="1065445368">
    <w:abstractNumId w:val="23"/>
  </w:num>
  <w:num w:numId="5" w16cid:durableId="1509756976">
    <w:abstractNumId w:val="19"/>
  </w:num>
  <w:num w:numId="6" w16cid:durableId="1992630998">
    <w:abstractNumId w:val="2"/>
  </w:num>
  <w:num w:numId="7" w16cid:durableId="1127549620">
    <w:abstractNumId w:val="1"/>
  </w:num>
  <w:num w:numId="8" w16cid:durableId="1623220833">
    <w:abstractNumId w:val="0"/>
  </w:num>
  <w:num w:numId="9" w16cid:durableId="1589922319">
    <w:abstractNumId w:val="16"/>
  </w:num>
  <w:num w:numId="10" w16cid:durableId="380635671">
    <w:abstractNumId w:val="17"/>
  </w:num>
  <w:num w:numId="11" w16cid:durableId="2075270541">
    <w:abstractNumId w:val="10"/>
  </w:num>
  <w:num w:numId="12" w16cid:durableId="658967853">
    <w:abstractNumId w:val="26"/>
  </w:num>
  <w:num w:numId="13" w16cid:durableId="1582442330">
    <w:abstractNumId w:val="4"/>
  </w:num>
  <w:num w:numId="14" w16cid:durableId="1693529811">
    <w:abstractNumId w:val="25"/>
  </w:num>
  <w:num w:numId="15" w16cid:durableId="879363830">
    <w:abstractNumId w:val="11"/>
  </w:num>
  <w:num w:numId="16" w16cid:durableId="303973855">
    <w:abstractNumId w:val="18"/>
  </w:num>
  <w:num w:numId="17" w16cid:durableId="1159082459">
    <w:abstractNumId w:val="20"/>
  </w:num>
  <w:num w:numId="18" w16cid:durableId="1651909354">
    <w:abstractNumId w:val="9"/>
  </w:num>
  <w:num w:numId="19" w16cid:durableId="1145314773">
    <w:abstractNumId w:val="6"/>
  </w:num>
  <w:num w:numId="20" w16cid:durableId="2026054237">
    <w:abstractNumId w:val="27"/>
  </w:num>
  <w:num w:numId="21" w16cid:durableId="392656759">
    <w:abstractNumId w:val="21"/>
  </w:num>
  <w:num w:numId="22" w16cid:durableId="514541387">
    <w:abstractNumId w:val="14"/>
  </w:num>
  <w:num w:numId="23" w16cid:durableId="1430544621">
    <w:abstractNumId w:val="8"/>
  </w:num>
  <w:num w:numId="24" w16cid:durableId="946157240">
    <w:abstractNumId w:val="24"/>
  </w:num>
  <w:num w:numId="25" w16cid:durableId="824970995">
    <w:abstractNumId w:val="22"/>
  </w:num>
  <w:num w:numId="26" w16cid:durableId="1108543428">
    <w:abstractNumId w:val="28"/>
  </w:num>
  <w:num w:numId="27" w16cid:durableId="1290894049">
    <w:abstractNumId w:val="13"/>
  </w:num>
  <w:num w:numId="28" w16cid:durableId="2041784658">
    <w:abstractNumId w:val="5"/>
  </w:num>
  <w:num w:numId="29" w16cid:durableId="241182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650C2"/>
    <w:rsid w:val="0006516C"/>
    <w:rsid w:val="0007050E"/>
    <w:rsid w:val="00072656"/>
    <w:rsid w:val="00082AC3"/>
    <w:rsid w:val="000910F3"/>
    <w:rsid w:val="00094E27"/>
    <w:rsid w:val="000C6C71"/>
    <w:rsid w:val="000E2F26"/>
    <w:rsid w:val="0011357B"/>
    <w:rsid w:val="00134C15"/>
    <w:rsid w:val="0014145F"/>
    <w:rsid w:val="00143903"/>
    <w:rsid w:val="00152AE6"/>
    <w:rsid w:val="001600EC"/>
    <w:rsid w:val="00162A8C"/>
    <w:rsid w:val="001709BE"/>
    <w:rsid w:val="00175BFD"/>
    <w:rsid w:val="00182B22"/>
    <w:rsid w:val="00185B11"/>
    <w:rsid w:val="00191093"/>
    <w:rsid w:val="00194F98"/>
    <w:rsid w:val="001B6FB5"/>
    <w:rsid w:val="001E44F2"/>
    <w:rsid w:val="001E5525"/>
    <w:rsid w:val="001F5B9E"/>
    <w:rsid w:val="00205B83"/>
    <w:rsid w:val="0022020E"/>
    <w:rsid w:val="002260DA"/>
    <w:rsid w:val="0028219F"/>
    <w:rsid w:val="002A02A4"/>
    <w:rsid w:val="002A365B"/>
    <w:rsid w:val="002A3720"/>
    <w:rsid w:val="002A65F1"/>
    <w:rsid w:val="002B086E"/>
    <w:rsid w:val="002B6761"/>
    <w:rsid w:val="002B69D6"/>
    <w:rsid w:val="002C0BED"/>
    <w:rsid w:val="002E1E0A"/>
    <w:rsid w:val="002E2D72"/>
    <w:rsid w:val="002E3C35"/>
    <w:rsid w:val="002E4C08"/>
    <w:rsid w:val="002E79E2"/>
    <w:rsid w:val="0032085B"/>
    <w:rsid w:val="00323455"/>
    <w:rsid w:val="00325D71"/>
    <w:rsid w:val="00326029"/>
    <w:rsid w:val="003357E8"/>
    <w:rsid w:val="0033641D"/>
    <w:rsid w:val="00340E8E"/>
    <w:rsid w:val="003415B4"/>
    <w:rsid w:val="00346CF1"/>
    <w:rsid w:val="003603BA"/>
    <w:rsid w:val="00364719"/>
    <w:rsid w:val="003A7644"/>
    <w:rsid w:val="003B54B5"/>
    <w:rsid w:val="003C436F"/>
    <w:rsid w:val="00416861"/>
    <w:rsid w:val="004210EB"/>
    <w:rsid w:val="00437598"/>
    <w:rsid w:val="00441EB6"/>
    <w:rsid w:val="004525E4"/>
    <w:rsid w:val="0046212B"/>
    <w:rsid w:val="00486D9B"/>
    <w:rsid w:val="00497AD6"/>
    <w:rsid w:val="004A227A"/>
    <w:rsid w:val="004A2A30"/>
    <w:rsid w:val="004A2C68"/>
    <w:rsid w:val="004B455B"/>
    <w:rsid w:val="004C0895"/>
    <w:rsid w:val="004C2DA0"/>
    <w:rsid w:val="004E5F65"/>
    <w:rsid w:val="004F0BC6"/>
    <w:rsid w:val="004F4FBA"/>
    <w:rsid w:val="00520E70"/>
    <w:rsid w:val="00523655"/>
    <w:rsid w:val="00524EC7"/>
    <w:rsid w:val="00527370"/>
    <w:rsid w:val="0053225A"/>
    <w:rsid w:val="005324A5"/>
    <w:rsid w:val="00535DD4"/>
    <w:rsid w:val="00555B1C"/>
    <w:rsid w:val="005650C1"/>
    <w:rsid w:val="00574380"/>
    <w:rsid w:val="00587965"/>
    <w:rsid w:val="00597991"/>
    <w:rsid w:val="005A2769"/>
    <w:rsid w:val="005A300C"/>
    <w:rsid w:val="005A38C2"/>
    <w:rsid w:val="005A656D"/>
    <w:rsid w:val="005A7828"/>
    <w:rsid w:val="005B0D93"/>
    <w:rsid w:val="005C6623"/>
    <w:rsid w:val="006007BF"/>
    <w:rsid w:val="00602689"/>
    <w:rsid w:val="00610438"/>
    <w:rsid w:val="00616CE3"/>
    <w:rsid w:val="006471A8"/>
    <w:rsid w:val="006511A2"/>
    <w:rsid w:val="00652585"/>
    <w:rsid w:val="0066501D"/>
    <w:rsid w:val="0068572B"/>
    <w:rsid w:val="006911C4"/>
    <w:rsid w:val="00697B9A"/>
    <w:rsid w:val="006A45C5"/>
    <w:rsid w:val="006A63A4"/>
    <w:rsid w:val="006C0FEB"/>
    <w:rsid w:val="006E690D"/>
    <w:rsid w:val="006E7F90"/>
    <w:rsid w:val="00700570"/>
    <w:rsid w:val="00724E3E"/>
    <w:rsid w:val="00730792"/>
    <w:rsid w:val="007476B9"/>
    <w:rsid w:val="00750DA6"/>
    <w:rsid w:val="00762BD0"/>
    <w:rsid w:val="00765FEF"/>
    <w:rsid w:val="007741DD"/>
    <w:rsid w:val="00786B7E"/>
    <w:rsid w:val="007C2497"/>
    <w:rsid w:val="007C3D89"/>
    <w:rsid w:val="007D5CA7"/>
    <w:rsid w:val="007D6146"/>
    <w:rsid w:val="007E2CF4"/>
    <w:rsid w:val="007E44AB"/>
    <w:rsid w:val="007F513E"/>
    <w:rsid w:val="007F5A7E"/>
    <w:rsid w:val="00804FD1"/>
    <w:rsid w:val="0080546A"/>
    <w:rsid w:val="00813540"/>
    <w:rsid w:val="00820D5C"/>
    <w:rsid w:val="0084601C"/>
    <w:rsid w:val="00852C18"/>
    <w:rsid w:val="008648DD"/>
    <w:rsid w:val="008856DD"/>
    <w:rsid w:val="008965EE"/>
    <w:rsid w:val="008A01D8"/>
    <w:rsid w:val="008B3754"/>
    <w:rsid w:val="008D4504"/>
    <w:rsid w:val="00901E6B"/>
    <w:rsid w:val="00902965"/>
    <w:rsid w:val="00903FCA"/>
    <w:rsid w:val="00911ABF"/>
    <w:rsid w:val="0093598F"/>
    <w:rsid w:val="00937313"/>
    <w:rsid w:val="009476B8"/>
    <w:rsid w:val="0095096B"/>
    <w:rsid w:val="00951F45"/>
    <w:rsid w:val="009715FF"/>
    <w:rsid w:val="00987561"/>
    <w:rsid w:val="009960F5"/>
    <w:rsid w:val="009B0E0C"/>
    <w:rsid w:val="009B2BEA"/>
    <w:rsid w:val="009D3007"/>
    <w:rsid w:val="009D73A3"/>
    <w:rsid w:val="009F033F"/>
    <w:rsid w:val="009F3CB1"/>
    <w:rsid w:val="00A03FE1"/>
    <w:rsid w:val="00A14BBF"/>
    <w:rsid w:val="00A433B2"/>
    <w:rsid w:val="00A45AFE"/>
    <w:rsid w:val="00A54C47"/>
    <w:rsid w:val="00A60D87"/>
    <w:rsid w:val="00A67669"/>
    <w:rsid w:val="00A76D1A"/>
    <w:rsid w:val="00A85367"/>
    <w:rsid w:val="00A922CF"/>
    <w:rsid w:val="00AB0162"/>
    <w:rsid w:val="00AB1542"/>
    <w:rsid w:val="00AB29C7"/>
    <w:rsid w:val="00AD2A6A"/>
    <w:rsid w:val="00AE3655"/>
    <w:rsid w:val="00AF24CC"/>
    <w:rsid w:val="00AF3CDB"/>
    <w:rsid w:val="00B142E1"/>
    <w:rsid w:val="00B25C5E"/>
    <w:rsid w:val="00B35721"/>
    <w:rsid w:val="00B35D3F"/>
    <w:rsid w:val="00B3639D"/>
    <w:rsid w:val="00B37595"/>
    <w:rsid w:val="00B57DB4"/>
    <w:rsid w:val="00B632F7"/>
    <w:rsid w:val="00B646F4"/>
    <w:rsid w:val="00B77EDB"/>
    <w:rsid w:val="00B87D62"/>
    <w:rsid w:val="00B9570D"/>
    <w:rsid w:val="00BC51AA"/>
    <w:rsid w:val="00BE0167"/>
    <w:rsid w:val="00BE6F66"/>
    <w:rsid w:val="00BF0193"/>
    <w:rsid w:val="00C023BC"/>
    <w:rsid w:val="00C1331D"/>
    <w:rsid w:val="00C217D8"/>
    <w:rsid w:val="00C31CB9"/>
    <w:rsid w:val="00C341D9"/>
    <w:rsid w:val="00C34B92"/>
    <w:rsid w:val="00C4044B"/>
    <w:rsid w:val="00C45675"/>
    <w:rsid w:val="00C52A08"/>
    <w:rsid w:val="00C57911"/>
    <w:rsid w:val="00C75240"/>
    <w:rsid w:val="00C82ADE"/>
    <w:rsid w:val="00CA2106"/>
    <w:rsid w:val="00CC14FB"/>
    <w:rsid w:val="00CE5672"/>
    <w:rsid w:val="00D01A91"/>
    <w:rsid w:val="00D02C1D"/>
    <w:rsid w:val="00D04303"/>
    <w:rsid w:val="00D212FD"/>
    <w:rsid w:val="00D24437"/>
    <w:rsid w:val="00D25E19"/>
    <w:rsid w:val="00D43346"/>
    <w:rsid w:val="00D52791"/>
    <w:rsid w:val="00D63AB5"/>
    <w:rsid w:val="00D70BF9"/>
    <w:rsid w:val="00D71E1F"/>
    <w:rsid w:val="00D975A7"/>
    <w:rsid w:val="00DC43C6"/>
    <w:rsid w:val="00DD050E"/>
    <w:rsid w:val="00DE2271"/>
    <w:rsid w:val="00DE4432"/>
    <w:rsid w:val="00DF1239"/>
    <w:rsid w:val="00DF1581"/>
    <w:rsid w:val="00DF18B7"/>
    <w:rsid w:val="00E22609"/>
    <w:rsid w:val="00E23C39"/>
    <w:rsid w:val="00E25783"/>
    <w:rsid w:val="00E536DC"/>
    <w:rsid w:val="00E635A6"/>
    <w:rsid w:val="00E90364"/>
    <w:rsid w:val="00E93347"/>
    <w:rsid w:val="00EA096D"/>
    <w:rsid w:val="00EB3038"/>
    <w:rsid w:val="00EC52D2"/>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159C"/>
    <w:rsid w:val="00FA15E5"/>
    <w:rsid w:val="00FB5B97"/>
    <w:rsid w:val="00FE6367"/>
    <w:rsid w:val="00FF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2.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3.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4.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Hill, Jenna</cp:lastModifiedBy>
  <cp:revision>4</cp:revision>
  <cp:lastPrinted>2024-06-05T09:35:00Z</cp:lastPrinted>
  <dcterms:created xsi:type="dcterms:W3CDTF">2024-11-28T11:15:00Z</dcterms:created>
  <dcterms:modified xsi:type="dcterms:W3CDTF">2025-01-08T10:26:00Z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